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Group 1 Classroom Exercise #2 </w:t>
      </w:r>
    </w:p>
    <w:p w:rsidR="00000000" w:rsidDel="00000000" w:rsidP="00000000" w:rsidRDefault="00000000" w:rsidRPr="00000000" w14:paraId="00000002">
      <w:pPr>
        <w:widowControl w:val="0"/>
        <w:spacing w:line="229.90779876708984" w:lineRule="auto"/>
        <w:ind w:left="804.47998046875" w:right="698.399658203125" w:firstLine="0"/>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Preparing an Economic, Industry and  Company Analysis </w:t>
      </w:r>
    </w:p>
    <w:p w:rsidR="00000000" w:rsidDel="00000000" w:rsidP="00000000" w:rsidRDefault="00000000" w:rsidRPr="00000000" w14:paraId="00000003">
      <w:pPr>
        <w:widowControl w:val="0"/>
        <w:spacing w:before="12.02392578125" w:line="240" w:lineRule="auto"/>
        <w:jc w:val="center"/>
        <w:rPr>
          <w:rFonts w:ascii="Times New Roman" w:cs="Times New Roman" w:eastAsia="Times New Roman" w:hAnsi="Times New Roman"/>
          <w:b w:val="1"/>
          <w:bCs w:val="1"/>
          <w:sz w:val="48"/>
          <w:szCs w:val="48"/>
        </w:rPr>
      </w:pPr>
      <w:r w:rsidDel="00000000" w:rsidR="00000000" w:rsidRPr="00000000">
        <w:rPr>
          <w:rFonts w:ascii="Times New Roman" w:cs="Times New Roman" w:eastAsia="Times New Roman" w:hAnsi="Times New Roman"/>
          <w:b w:val="1"/>
          <w:bCs w:val="1"/>
          <w:sz w:val="48"/>
          <w:szCs w:val="48"/>
          <w:rtl w:val="0"/>
        </w:rPr>
        <w:t xml:space="preserve">ACCT 416, Spring 2026 </w:t>
      </w:r>
    </w:p>
    <w:p w:rsidR="00000000" w:rsidDel="00000000" w:rsidP="00000000" w:rsidRDefault="00000000" w:rsidRPr="00000000" w14:paraId="00000004">
      <w:pPr>
        <w:widowControl w:val="0"/>
        <w:spacing w:before="12.02392578125" w:line="240" w:lineRule="auto"/>
        <w:jc w:val="center"/>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widowControl w:val="0"/>
        <w:spacing w:before="12.02392578125" w:line="240" w:lineRule="auto"/>
        <w:ind w:left="720" w:firstLine="0"/>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Prepared by Alexandre Kelkelyan, Basmah Hasan, Branden Soo, Daniel Yuan, Dylan Norona, Grace Baek, and Nicole Williams</w:t>
      </w:r>
    </w:p>
    <w:p w:rsidR="00000000" w:rsidDel="00000000" w:rsidP="00000000" w:rsidRDefault="00000000" w:rsidRPr="00000000" w14:paraId="00000006">
      <w:pPr>
        <w:widowControl w:val="0"/>
        <w:spacing w:before="271.920166015625" w:line="227.908673286438" w:lineRule="auto"/>
        <w:ind w:left="0" w:right="873.599853515625" w:firstLine="0"/>
        <w:jc w:val="lef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1. In your own words, describe how a financial analyst might consider the effect of  economic and industry factors in preparing a financial analysis of a company.</w:t>
      </w:r>
    </w:p>
    <w:p w:rsidR="00000000" w:rsidDel="00000000" w:rsidP="00000000" w:rsidRDefault="00000000" w:rsidRPr="00000000" w14:paraId="00000007">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analysts would evaluate how economic factors affect revenues, expenses, cash flows, etc. Some economic factors include GDP growth, interest rates, inflation, exchange rates, employment level, and consumer confidence. For example, strong economic growth means there is typically higher consumer and business spending, leading to increased sales and improved profitability for companies like Starbucks. Meanwhile, demand for Starbucks may fall during a recession, causing decreased revenues. Industry factors help financial analysts understand the competitive environment in which the company operates. Some industry factors include regulatory environment, industry growth/life cycle stage, competition level, technological change, supply chain, and industry benchmarks. For example, government regulations might increase operating costs for businesses in the airline industry. Airlines also operate in a very competitive and mature industry with a lot of price competition. A financial analyst evaluating an airline company like American Airlines might compare its profitability, cost structure, and leverage ratios to industry averages.</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2. In your own words, compare and contrast the three primary concepts of income discussed  in Classes 5 and 6 (Module 3 and Qualitative Analysis). </w:t>
      </w:r>
    </w:p>
    <w:p w:rsidR="00000000" w:rsidDel="00000000" w:rsidP="00000000" w:rsidRDefault="00000000" w:rsidRPr="00000000" w14:paraId="0000000B">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class, we discussed the three primary concepts of income in detail, those being economic income, permanent income, and accounting income (we also brushed upon “Hicksian” income). In simple mathematical terms, economic income is the sum of both net cash flows during the current period and the distinct difference in the present value of future cash flows that are expected to occur. Economic income itself is not seen as a useful measure of predicting future forecasts of earnings’ behavior since it includes all of the basic elements that affect wealth. These basic elements include normal recurring income (such as profits from operating activities), as well as nonrecurring gains and losses (such as a settlement issued from a lawsuit). As for permanent income, it simply reflects what a firm’s earnings can maintain in the long-run by focusing on sustainable and recurring components. When comparing this to economic income, permanent income hones in on one portion of the basic elements of economic income listed above, that being recurring components of income and not nonrecurring components. While permanent income focuses only on recurring components, accounting income focuses on both permanent and transitory income. In a nutshell, accounting income is a mixture of permanent, non-reccurring, and value-irrelevant  components (accounting irregularities that have no ties to economic aspects). By utilizing aspects of economic income and permanent income, while also including the value-irrelevant component, you reach the reported number companies hold onto with accounting income.</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3. In your own words, describe the differences between the permanent component and the  transitory component of “Accounting Income”.</w:t>
      </w:r>
    </w:p>
    <w:p w:rsidR="00000000" w:rsidDel="00000000" w:rsidP="00000000" w:rsidRDefault="00000000" w:rsidRPr="00000000" w14:paraId="0000000F">
      <w:pPr>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Firstly, “Accounting Income” is the net income a company reports on its income statement under GAAP. It is calculated as revenues and gains minus expenses and losses for a period. This can be broken down into permanent components and transitory components. The permanent component is the recurring, ongoing income from normal operations that is expected to continue in the future, like regular sales profits. It reflects the company’s sustainable earning power and is what analysts focus on when forecasting future performance or valuing a company. For example, consistent operating profit from selling products every year would be part of permanent income. The transitory component is the temporary, non-recurring part of income, such as gains or losses from selling a business segment, restructuring charges, or other unusual items, which are not expected to happen again. These items affect net income in the current period, but they do not reflect the company’s normal earning ability going forward.</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4">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Exercise: </w:t>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A very important issue in the current economic environment is the strong growth in demand for semiconductors, driven by the growth of AI, cloud computing, and data center expansion. This directly impacts Micron, as they’re a leading producer of DRAM and NAND memory. Micron actually benefits from the increased demand for high performance memory that are used in AI servers and advanced computing systems. This increased demand has dramatically tightened global memory supply, allowing Micron to exercise their pricing power and increase margins after a period of industry downturn. However, at the same time, the semiconductor industry remains highly cyclical, which means that rapid capacity expansion could eventually lead to an oversupply in the industry and price declines. Broader macroeconomic conditions such as interest rates and capital spending trends can also influence customers’ willingness to invest in new technology and consequently, amplify swings in the demand for high performance memory. These factors show that Micron’s performance is closely tied to how effectively the company can navigate current AI growth and manage the risks of economic and industry cycles. Given these macroeconomic tailwinds and risks, it is important to further examine the structure and competitive dynamics of the semiconductor industry in which Micron operates.</w:t>
      </w:r>
    </w:p>
    <w:p w:rsidR="00000000" w:rsidDel="00000000" w:rsidP="00000000" w:rsidRDefault="00000000" w:rsidRPr="00000000" w14:paraId="00000017">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Micron competes in the semiconductor industry, which is extremely intense in competition due to the limited number of competitors. The low number of competitors is partially because of the high barriers of entry to the industry due to the heavy amounts of capital and research costs needed to enter. There is, however, a medium threat of substitution because although there is no perfect substitute to Micron’s DRAM memory and NAND storage products, buyers do have alternative options such as substituting the type of memory they use or designing their systems to rely less on DRAM. Buyers in this industry have a relatively high bargaining power because customers typically buy semiconductor and memory products at a very large scale, are price sensitive, and could have multiple sources of supply. However, Micron’s innovative edge would differentiate themselves from the rest of the market, which would reduce the bargaining power of buyers. There is also a medium amount of supplier power in the industry due to the limitation of key materials and supplies. Micron wrote in their 2025 Q4 10-K report that “only a limited number of suppliers are capable of delivering certain materials” and that their “supply chain and operations are dependent on the availability of materials.” Micron also notes that current tariffs, trade restrictions, and other geopolitical turmoil around the world have a significant impact on their suppliers, operations, and production. Overall, the current status of the industry favors Micron. With strong AI and data center demands due to the huge memory bandwidth that AI servers require and minimal number of competitors able to provide such products, Micron is in a strong position to capitalize on current industry trends. Within this competitive but structurally attractive industry environment, Micron’s company-specific strengths further enhance its ability to outperform peers.</w:t>
      </w:r>
    </w:p>
    <w:p w:rsidR="00000000" w:rsidDel="00000000" w:rsidP="00000000" w:rsidRDefault="00000000" w:rsidRPr="00000000" w14:paraId="00000018">
      <w:pPr>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Micron faces fierce competition from Samsung and SK Hynix on storage solutions, they are still able to differentiate themselves and hold a strong market position. This is because Micron maintains an innovative edge in some of their key products offered. For example, Micron produces top-quality proprietary high-bandwidth memory (HBM). HBMs are currently in high demand due to AI workloads and data-center expansion. This is evidenced by the fact that Micron had completely sold out their HBM capacity by late 2025. The company has also demonstrated technological leadership in solid-state storage, unveiling the industry’s first PCIe Gen6 NVMe SSD in mid-2025 to meet growing demand for faster computing solutions. Furthermore, Micron ensures that it is able to maintain its technological superiority through extensive investment into R&amp;D, ensuring that they continue to improve their products and producing high quality storage. Micron reinforces these innovations with patent protection to protect their proprietary tech. Lastly, Micron is able to differentiate itself from competitors through its extensive scale and fabrication facilities. As of FY 2025, Micron holds $45B in PPE, and is expected to receive a 6.1B stimulus from the recent CHIPs act to add onto this. Together, these advantages lower unit costs, support pricing power in high-performance segments, and enable Micron to pursue profitable growth opportunities that generate economic value.</w:t>
      </w:r>
    </w:p>
    <w:p w:rsidR="00000000" w:rsidDel="00000000" w:rsidP="00000000" w:rsidRDefault="00000000" w:rsidRPr="00000000" w14:paraId="00000019">
      <w:pPr>
        <w:ind w:left="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